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42CA2" w:rsidRDefault="00B42CA2"/>
    <w:p w:rsidR="00B42CA2" w:rsidRDefault="00B42CA2"/>
    <w:p w:rsidR="00B42CA2" w:rsidRDefault="00B42CA2"/>
    <w:p w:rsidR="00B42CA2" w:rsidRDefault="00B42CA2"/>
    <w:p w:rsidR="00B42CA2" w:rsidRDefault="00B42CA2"/>
    <w:p w:rsidR="00B42CA2" w:rsidRDefault="00B42CA2"/>
    <w:p w:rsidR="00B42CA2" w:rsidRDefault="006D6D44" w:rsidP="00B42CA2">
      <w:pPr>
        <w:jc w:val="center"/>
      </w:pPr>
      <w:bookmarkStart w:id="0" w:name="_GoBack"/>
      <w:r>
        <w:t>Evaluation and Measurement of Patient-Centered Care</w:t>
      </w:r>
    </w:p>
    <w:bookmarkEnd w:id="0"/>
    <w:p w:rsidR="00B42CA2" w:rsidRDefault="00FD2B98" w:rsidP="00B42CA2">
      <w:pPr>
        <w:jc w:val="center"/>
      </w:pPr>
      <w:r>
        <w:t>Student’s Name</w:t>
      </w:r>
    </w:p>
    <w:p w:rsidR="00B42CA2" w:rsidRDefault="00FD2B98" w:rsidP="00B42CA2">
      <w:pPr>
        <w:jc w:val="center"/>
      </w:pPr>
      <w:r>
        <w:t>Institution</w:t>
      </w:r>
      <w:r w:rsidR="006D6D44">
        <w:t xml:space="preserve"> Affiliation</w:t>
      </w:r>
    </w:p>
    <w:p w:rsidR="00B42CA2" w:rsidRDefault="00FD2B98">
      <w:r>
        <w:br w:type="page"/>
      </w:r>
    </w:p>
    <w:p w:rsidR="006D6D44" w:rsidRPr="006D6D44" w:rsidRDefault="00B01AD0" w:rsidP="00B01AD0">
      <w:pPr>
        <w:tabs>
          <w:tab w:val="left" w:pos="240"/>
          <w:tab w:val="center" w:pos="4680"/>
        </w:tabs>
        <w:contextualSpacing/>
      </w:pPr>
      <w:r>
        <w:lastRenderedPageBreak/>
        <w:tab/>
      </w:r>
      <w:r>
        <w:tab/>
      </w:r>
      <w:r w:rsidR="006D6D44">
        <w:t>Articles S</w:t>
      </w:r>
      <w:r>
        <w:t>ummaries</w:t>
      </w:r>
    </w:p>
    <w:p w:rsidR="00B42CA2" w:rsidRPr="006D6D44" w:rsidRDefault="006D6D44" w:rsidP="00B01AD0">
      <w:pPr>
        <w:contextualSpacing/>
        <w:jc w:val="both"/>
        <w:rPr>
          <w:b/>
        </w:rPr>
      </w:pPr>
      <w:r w:rsidRPr="006D6D44">
        <w:rPr>
          <w:b/>
        </w:rPr>
        <w:t xml:space="preserve">Article 1: </w:t>
      </w:r>
      <w:r w:rsidR="00FD2B98" w:rsidRPr="006D6D44">
        <w:rPr>
          <w:b/>
        </w:rPr>
        <w:t>Instruments for assessing Person-Centered Care in Gerontology</w:t>
      </w:r>
    </w:p>
    <w:p w:rsidR="00EC26B7" w:rsidRPr="00B70775" w:rsidRDefault="00FD2B98" w:rsidP="00B01AD0">
      <w:pPr>
        <w:contextualSpacing/>
        <w:jc w:val="both"/>
      </w:pPr>
      <w:r w:rsidRPr="00B70775">
        <w:t xml:space="preserve"> Patient-centered care is a crucial aspect of gerontology. Old age comes with various conditions such as chronic diseases and physical inabilities requiring more focused and improved quality services. </w:t>
      </w:r>
      <w:r w:rsidR="00393738" w:rsidRPr="00B70775">
        <w:t xml:space="preserve">The article “Instruments for assessing Person-Centered Care in Gerontology” by Teresa </w:t>
      </w:r>
      <w:proofErr w:type="spellStart"/>
      <w:r w:rsidR="00393738" w:rsidRPr="00B70775">
        <w:t>Martínez</w:t>
      </w:r>
      <w:proofErr w:type="spellEnd"/>
      <w:r w:rsidR="00393738" w:rsidRPr="00B70775">
        <w:t xml:space="preserve">, Javier </w:t>
      </w:r>
      <w:proofErr w:type="spellStart"/>
      <w:r w:rsidR="00393738" w:rsidRPr="00B70775">
        <w:t>Suárez-Álvarez</w:t>
      </w:r>
      <w:proofErr w:type="spellEnd"/>
      <w:r w:rsidR="00393738" w:rsidRPr="00B70775">
        <w:t xml:space="preserve">, and Javier </w:t>
      </w:r>
      <w:proofErr w:type="spellStart"/>
      <w:r w:rsidR="00393738" w:rsidRPr="00B70775">
        <w:t>Yanguas</w:t>
      </w:r>
      <w:proofErr w:type="spellEnd"/>
      <w:r w:rsidR="00393738" w:rsidRPr="00B70775">
        <w:t xml:space="preserve"> is a review of the currently used strategies and tools in the assessment of the implementation and success of patient-centered care among elderly patients in care facilities.</w:t>
      </w:r>
      <w:r w:rsidR="00C55974" w:rsidRPr="00B70775">
        <w:t xml:space="preserve"> The researchers review various methods used to assess patient center care services in gerontology such as day centers, home help as well as residential social services as discussed in this paper.</w:t>
      </w:r>
    </w:p>
    <w:p w:rsidR="001B21BF" w:rsidRPr="00B70775" w:rsidRDefault="00FD2B98" w:rsidP="00B01AD0">
      <w:pPr>
        <w:contextualSpacing/>
        <w:jc w:val="both"/>
      </w:pPr>
      <w:r w:rsidRPr="00B70775">
        <w:tab/>
      </w:r>
      <w:r w:rsidR="005D1A91" w:rsidRPr="00B70775">
        <w:t>Since the aim of the study was to assess the instruments used in assessment, t</w:t>
      </w:r>
      <w:r w:rsidRPr="00B70775">
        <w:t xml:space="preserve">he researchers </w:t>
      </w:r>
      <w:r w:rsidR="005D1A91" w:rsidRPr="00B70775">
        <w:t>used various databases and websites to analyze the devices effectively. Among the instruments investigated include the Dementia Care Mapping (DCM), a widely used PCC assessment tool</w:t>
      </w:r>
      <w:r w:rsidR="00A91C8A">
        <w:t xml:space="preserve"> (</w:t>
      </w:r>
      <w:proofErr w:type="spellStart"/>
      <w:r w:rsidR="00A91C8A">
        <w:rPr>
          <w:shd w:val="clear" w:color="auto" w:fill="FFFFFF"/>
        </w:rPr>
        <w:t>Martínez</w:t>
      </w:r>
      <w:proofErr w:type="spellEnd"/>
      <w:r w:rsidR="00A91C8A">
        <w:rPr>
          <w:shd w:val="clear" w:color="auto" w:fill="FFFFFF"/>
        </w:rPr>
        <w:t>,</w:t>
      </w:r>
      <w:r w:rsidR="00A91C8A" w:rsidRPr="00B70775">
        <w:rPr>
          <w:shd w:val="clear" w:color="auto" w:fill="FFFFFF"/>
        </w:rPr>
        <w:t xml:space="preserve"> </w:t>
      </w:r>
      <w:proofErr w:type="spellStart"/>
      <w:r w:rsidR="00A91C8A" w:rsidRPr="00B70775">
        <w:rPr>
          <w:shd w:val="clear" w:color="auto" w:fill="FFFFFF"/>
        </w:rPr>
        <w:t>Suá</w:t>
      </w:r>
      <w:r w:rsidR="00A91C8A">
        <w:rPr>
          <w:shd w:val="clear" w:color="auto" w:fill="FFFFFF"/>
        </w:rPr>
        <w:t>rez-Álvarez</w:t>
      </w:r>
      <w:proofErr w:type="spellEnd"/>
      <w:r w:rsidR="00A91C8A">
        <w:rPr>
          <w:shd w:val="clear" w:color="auto" w:fill="FFFFFF"/>
        </w:rPr>
        <w:t xml:space="preserve"> &amp; </w:t>
      </w:r>
      <w:proofErr w:type="spellStart"/>
      <w:r w:rsidR="00A91C8A">
        <w:rPr>
          <w:shd w:val="clear" w:color="auto" w:fill="FFFFFF"/>
        </w:rPr>
        <w:t>Yanguas</w:t>
      </w:r>
      <w:proofErr w:type="spellEnd"/>
      <w:r w:rsidR="00A91C8A">
        <w:rPr>
          <w:shd w:val="clear" w:color="auto" w:fill="FFFFFF"/>
        </w:rPr>
        <w:t xml:space="preserve">, </w:t>
      </w:r>
      <w:r w:rsidR="00A91C8A" w:rsidRPr="00B70775">
        <w:rPr>
          <w:shd w:val="clear" w:color="auto" w:fill="FFFFFF"/>
        </w:rPr>
        <w:t>2016)</w:t>
      </w:r>
      <w:r w:rsidR="005D1A91" w:rsidRPr="00B70775">
        <w:t>. Besides, the study also focused on Care Observational tool, an instrument that observes whether professionals direct their services to the victims with dementia, among other devices. Additionally, the research investigated the effectiveness of instruments for the evaluation of the physical environment in centers such as the Dementia Care Mapping Environment (DCM-ENV), as well as tools employed in assessing PCC according to the users</w:t>
      </w:r>
      <w:r w:rsidR="00164949">
        <w:t xml:space="preserve"> (</w:t>
      </w:r>
      <w:proofErr w:type="spellStart"/>
      <w:r w:rsidR="00164949">
        <w:rPr>
          <w:shd w:val="clear" w:color="auto" w:fill="FFFFFF"/>
        </w:rPr>
        <w:t>Martínez</w:t>
      </w:r>
      <w:proofErr w:type="spellEnd"/>
      <w:r w:rsidR="00164949">
        <w:rPr>
          <w:shd w:val="clear" w:color="auto" w:fill="FFFFFF"/>
        </w:rPr>
        <w:t>,</w:t>
      </w:r>
      <w:r w:rsidR="00164949" w:rsidRPr="00B70775">
        <w:rPr>
          <w:shd w:val="clear" w:color="auto" w:fill="FFFFFF"/>
        </w:rPr>
        <w:t xml:space="preserve"> </w:t>
      </w:r>
      <w:proofErr w:type="spellStart"/>
      <w:r w:rsidR="00164949" w:rsidRPr="00B70775">
        <w:rPr>
          <w:shd w:val="clear" w:color="auto" w:fill="FFFFFF"/>
        </w:rPr>
        <w:t>Suá</w:t>
      </w:r>
      <w:r w:rsidR="00164949">
        <w:rPr>
          <w:shd w:val="clear" w:color="auto" w:fill="FFFFFF"/>
        </w:rPr>
        <w:t>rez-Álvarez</w:t>
      </w:r>
      <w:proofErr w:type="spellEnd"/>
      <w:r w:rsidR="00164949">
        <w:rPr>
          <w:shd w:val="clear" w:color="auto" w:fill="FFFFFF"/>
        </w:rPr>
        <w:t xml:space="preserve"> &amp; </w:t>
      </w:r>
      <w:proofErr w:type="spellStart"/>
      <w:r w:rsidR="00164949">
        <w:rPr>
          <w:shd w:val="clear" w:color="auto" w:fill="FFFFFF"/>
        </w:rPr>
        <w:t>Yanguas</w:t>
      </w:r>
      <w:proofErr w:type="spellEnd"/>
      <w:r w:rsidR="00164949">
        <w:rPr>
          <w:shd w:val="clear" w:color="auto" w:fill="FFFFFF"/>
        </w:rPr>
        <w:t xml:space="preserve">, </w:t>
      </w:r>
      <w:r w:rsidR="00164949" w:rsidRPr="00B70775">
        <w:rPr>
          <w:shd w:val="clear" w:color="auto" w:fill="FFFFFF"/>
        </w:rPr>
        <w:t>2016)</w:t>
      </w:r>
      <w:r w:rsidR="00C07275" w:rsidRPr="00B70775">
        <w:t>.</w:t>
      </w:r>
      <w:r w:rsidR="005D1A91" w:rsidRPr="00B70775">
        <w:t xml:space="preserve"> </w:t>
      </w:r>
    </w:p>
    <w:p w:rsidR="008B5F9B" w:rsidRPr="00B70775" w:rsidRDefault="00FD2B98" w:rsidP="00B01AD0">
      <w:pPr>
        <w:contextualSpacing/>
        <w:jc w:val="both"/>
      </w:pPr>
      <w:r w:rsidRPr="00B70775">
        <w:tab/>
      </w:r>
      <w:r w:rsidR="00DF18CB" w:rsidRPr="00B70775">
        <w:t xml:space="preserve">After arranging the instruments according to categories, </w:t>
      </w:r>
      <w:r w:rsidR="008C304A" w:rsidRPr="00B70775">
        <w:t>the researchers observed the tools were varied and incomplete.</w:t>
      </w:r>
      <w:r w:rsidR="009424CC" w:rsidRPr="00B70775">
        <w:t xml:space="preserve"> In this regard, it would be inappropriate to use only one instrument when assessing PCC since the results would be biased</w:t>
      </w:r>
      <w:r w:rsidR="00164949">
        <w:t xml:space="preserve"> (</w:t>
      </w:r>
      <w:proofErr w:type="spellStart"/>
      <w:r w:rsidR="00164949">
        <w:rPr>
          <w:shd w:val="clear" w:color="auto" w:fill="FFFFFF"/>
        </w:rPr>
        <w:t>Martínez</w:t>
      </w:r>
      <w:proofErr w:type="spellEnd"/>
      <w:r w:rsidR="00164949">
        <w:rPr>
          <w:shd w:val="clear" w:color="auto" w:fill="FFFFFF"/>
        </w:rPr>
        <w:t>,</w:t>
      </w:r>
      <w:r w:rsidR="00164949" w:rsidRPr="00B70775">
        <w:rPr>
          <w:shd w:val="clear" w:color="auto" w:fill="FFFFFF"/>
        </w:rPr>
        <w:t xml:space="preserve"> </w:t>
      </w:r>
      <w:proofErr w:type="spellStart"/>
      <w:r w:rsidR="00164949" w:rsidRPr="00B70775">
        <w:rPr>
          <w:shd w:val="clear" w:color="auto" w:fill="FFFFFF"/>
        </w:rPr>
        <w:t>Suá</w:t>
      </w:r>
      <w:r w:rsidR="00164949">
        <w:rPr>
          <w:shd w:val="clear" w:color="auto" w:fill="FFFFFF"/>
        </w:rPr>
        <w:t>rez-Álvarez</w:t>
      </w:r>
      <w:proofErr w:type="spellEnd"/>
      <w:r w:rsidR="00164949">
        <w:rPr>
          <w:shd w:val="clear" w:color="auto" w:fill="FFFFFF"/>
        </w:rPr>
        <w:t xml:space="preserve"> &amp; </w:t>
      </w:r>
      <w:proofErr w:type="spellStart"/>
      <w:r w:rsidR="00164949">
        <w:rPr>
          <w:shd w:val="clear" w:color="auto" w:fill="FFFFFF"/>
        </w:rPr>
        <w:t>Yanguas</w:t>
      </w:r>
      <w:proofErr w:type="spellEnd"/>
      <w:r w:rsidR="00164949">
        <w:rPr>
          <w:shd w:val="clear" w:color="auto" w:fill="FFFFFF"/>
        </w:rPr>
        <w:t xml:space="preserve">, </w:t>
      </w:r>
      <w:r w:rsidR="00164949" w:rsidRPr="00B70775">
        <w:rPr>
          <w:shd w:val="clear" w:color="auto" w:fill="FFFFFF"/>
        </w:rPr>
        <w:t>2016)</w:t>
      </w:r>
      <w:r w:rsidR="009424CC" w:rsidRPr="00B70775">
        <w:t>.</w:t>
      </w:r>
      <w:r w:rsidR="00A85864" w:rsidRPr="00B70775">
        <w:t xml:space="preserve"> Therefore, the researchers concluded that the assessment tools required psychometric properties when evaluating a psychometric construct such as PCC. </w:t>
      </w:r>
      <w:r w:rsidR="001C5535" w:rsidRPr="00B70775">
        <w:t>Besides, the measures must be integrated into other testing mechanisms of various health care phenomena to work effectively.</w:t>
      </w:r>
    </w:p>
    <w:p w:rsidR="00257709" w:rsidRPr="00B70775" w:rsidRDefault="00FD2B98" w:rsidP="00B01AD0">
      <w:pPr>
        <w:contextualSpacing/>
        <w:jc w:val="both"/>
      </w:pPr>
      <w:r w:rsidRPr="00B70775">
        <w:tab/>
        <w:t xml:space="preserve">In summary, the article explains the </w:t>
      </w:r>
      <w:r w:rsidR="0007767F" w:rsidRPr="00B70775">
        <w:t>researchers’</w:t>
      </w:r>
      <w:r w:rsidRPr="00B70775">
        <w:t xml:space="preserve"> perspectives after conducting a study to analyze the effectiveness of PCC assessment tools.</w:t>
      </w:r>
      <w:r w:rsidR="0007767F" w:rsidRPr="00B70775">
        <w:t xml:space="preserve"> The researchers grouped the instruments into categories depending on their objective and assessed their effectiveness in that category. Consequently, they came up with the conclusion that since the tools were incomplete and varied, one needed more than one instrument with psychometric </w:t>
      </w:r>
      <w:r w:rsidR="001E6C3B" w:rsidRPr="00B70775">
        <w:t>properties</w:t>
      </w:r>
      <w:r w:rsidR="0007767F" w:rsidRPr="00B70775">
        <w:t xml:space="preserve"> to perform a PCC assessment effectively.</w:t>
      </w:r>
    </w:p>
    <w:p w:rsidR="006D6D44" w:rsidRPr="006D6D44" w:rsidRDefault="006D6D44" w:rsidP="00B01AD0">
      <w:pPr>
        <w:contextualSpacing/>
        <w:jc w:val="both"/>
        <w:rPr>
          <w:b/>
        </w:rPr>
      </w:pPr>
      <w:r w:rsidRPr="006D6D44">
        <w:rPr>
          <w:b/>
        </w:rPr>
        <w:t>Article 2: Measuring Patient-Centered System Performance</w:t>
      </w:r>
    </w:p>
    <w:p w:rsidR="006D6D44" w:rsidRPr="006D6D44" w:rsidRDefault="006D6D44" w:rsidP="00B01AD0">
      <w:pPr>
        <w:contextualSpacing/>
        <w:jc w:val="both"/>
      </w:pPr>
      <w:r w:rsidRPr="006D6D44">
        <w:t xml:space="preserve">Since patient-centered care (PCC) I one of the six pillars of health care, understanding the quality indicators of the phenomenon is crucial in developing a successful PCC strategy. In this regard, Rachel J </w:t>
      </w:r>
      <w:proofErr w:type="spellStart"/>
      <w:r w:rsidRPr="006D6D44">
        <w:t>Jolley</w:t>
      </w:r>
      <w:proofErr w:type="spellEnd"/>
      <w:r w:rsidRPr="006D6D44">
        <w:t xml:space="preserve">, Maria-Jose Santana, Diane Lorenzetti, Kimberly </w:t>
      </w:r>
      <w:proofErr w:type="spellStart"/>
      <w:r w:rsidRPr="006D6D44">
        <w:t>Manalili</w:t>
      </w:r>
      <w:proofErr w:type="spellEnd"/>
      <w:r w:rsidRPr="006D6D44">
        <w:t xml:space="preserve">, </w:t>
      </w:r>
      <w:proofErr w:type="spellStart"/>
      <w:r w:rsidRPr="006D6D44">
        <w:t>Hude</w:t>
      </w:r>
      <w:proofErr w:type="spellEnd"/>
      <w:r w:rsidRPr="006D6D44">
        <w:t xml:space="preserve"> </w:t>
      </w:r>
      <w:proofErr w:type="spellStart"/>
      <w:r w:rsidRPr="006D6D44">
        <w:t>Quan</w:t>
      </w:r>
      <w:proofErr w:type="spellEnd"/>
      <w:r w:rsidRPr="006D6D44">
        <w:t xml:space="preserve">, Sandra </w:t>
      </w:r>
      <w:proofErr w:type="spellStart"/>
      <w:r w:rsidRPr="006D6D44">
        <w:t>Zelinsky</w:t>
      </w:r>
      <w:proofErr w:type="spellEnd"/>
      <w:r w:rsidRPr="006D6D44">
        <w:t xml:space="preserve">, </w:t>
      </w:r>
      <w:proofErr w:type="spellStart"/>
      <w:r w:rsidRPr="006D6D44">
        <w:t>Mingshan</w:t>
      </w:r>
      <w:proofErr w:type="spellEnd"/>
      <w:r w:rsidRPr="006D6D44">
        <w:t xml:space="preserve"> Lu, and </w:t>
      </w:r>
      <w:proofErr w:type="spellStart"/>
      <w:r w:rsidRPr="006D6D44">
        <w:t>Sadia</w:t>
      </w:r>
      <w:proofErr w:type="spellEnd"/>
      <w:r w:rsidRPr="006D6D44">
        <w:t xml:space="preserve"> Ahmed performed a scoping review to identify PCC quality indicators by examining peer-reviewed articles and grey literature. Therefore, the report, “Measuring patient-centered system performance” presents their research findings as discussed in this paper. </w:t>
      </w:r>
    </w:p>
    <w:p w:rsidR="006D6D44" w:rsidRPr="006D6D44" w:rsidRDefault="006D6D44" w:rsidP="00B01AD0">
      <w:pPr>
        <w:contextualSpacing/>
        <w:jc w:val="both"/>
      </w:pPr>
      <w:r w:rsidRPr="006D6D44">
        <w:t xml:space="preserve">The researchers employed a scoping approach to examine the information from previously published articles as well as grey literature. The main aim was to identify the already existing or the proposed quality indicators which measure PCC (Santana, Ahmed, Lorenzetti, </w:t>
      </w:r>
      <w:proofErr w:type="spellStart"/>
      <w:r w:rsidRPr="006D6D44">
        <w:t>Jolley</w:t>
      </w:r>
      <w:proofErr w:type="spellEnd"/>
      <w:r w:rsidRPr="006D6D44">
        <w:t xml:space="preserve">, </w:t>
      </w:r>
      <w:proofErr w:type="spellStart"/>
      <w:r w:rsidRPr="006D6D44">
        <w:t>Manalili</w:t>
      </w:r>
      <w:proofErr w:type="spellEnd"/>
      <w:r w:rsidRPr="006D6D44">
        <w:t xml:space="preserve">, </w:t>
      </w:r>
      <w:proofErr w:type="spellStart"/>
      <w:proofErr w:type="gramStart"/>
      <w:r w:rsidRPr="006D6D44">
        <w:t>Zelinsky</w:t>
      </w:r>
      <w:proofErr w:type="spellEnd"/>
      <w:r w:rsidRPr="006D6D44">
        <w:t>, ...</w:t>
      </w:r>
      <w:proofErr w:type="gramEnd"/>
      <w:r w:rsidRPr="006D6D44">
        <w:t xml:space="preserve"> &amp; Lu, 2019). However, they first defined the indicators to avoid confusion. After searching through numerous literature, the researchers agreed on 17 articles from which they conducted a review. The reports eligible identified PCC quality indicators or measured PCC performance (Santana et al., 2019). After selection, the analysts then extracted the signs listed in the literature and classified them. </w:t>
      </w:r>
    </w:p>
    <w:p w:rsidR="006D6D44" w:rsidRPr="006D6D44" w:rsidRDefault="006D6D44" w:rsidP="00B01AD0">
      <w:pPr>
        <w:contextualSpacing/>
        <w:jc w:val="both"/>
      </w:pPr>
      <w:r w:rsidRPr="006D6D44">
        <w:tab/>
        <w:t xml:space="preserve">From the investigation, the authors identified 502 of PCC measurement, but only 25 were classified as quality indicators (Santana et al., 2019). Regardless of all the articles using the term "quality indicator," some of the purported indicators could not be measured. Most of the indicators appeared as percentages with patients varying from the chronically ill such as cancer patients to fertility care. The studies investigated generally defined indicators as the artefacts that both physicians and patients, as well as caregivers agreed upon as essential in the achievement of the best services (Santana et al., 2019). Additionally, none of the investigated documents mentioned the implementation of quality indicators in health care sectors. Besides, the studies caused some confusion since they did not follow any set criteria in assessing PCC. </w:t>
      </w:r>
    </w:p>
    <w:p w:rsidR="006D6D44" w:rsidRPr="006D6D44" w:rsidRDefault="006D6D44" w:rsidP="00B01AD0">
      <w:pPr>
        <w:contextualSpacing/>
        <w:jc w:val="both"/>
      </w:pPr>
      <w:r w:rsidRPr="006D6D44">
        <w:t>Conclusively, the study aimed at identifying quality indicators employed in assessing patient-centered care. The researchers conducted a scooping review by analyzing published resources to identify existing and proposed quality indicators of measuring PCC. Out of the 502 recognized methods, only 25 were classified as indicators. Besides, the articles agreed on the general definition of quality indicators but differed on evaluation criteria.</w:t>
      </w:r>
    </w:p>
    <w:p w:rsidR="006D6D44" w:rsidRPr="006D6D44" w:rsidRDefault="006D6D44" w:rsidP="00B01AD0">
      <w:pPr>
        <w:contextualSpacing/>
        <w:jc w:val="both"/>
        <w:rPr>
          <w:b/>
        </w:rPr>
      </w:pPr>
      <w:r w:rsidRPr="006D6D44">
        <w:rPr>
          <w:b/>
        </w:rPr>
        <w:t>Article 3: Canadian Patient-Centered Care</w:t>
      </w:r>
    </w:p>
    <w:p w:rsidR="006D6D44" w:rsidRPr="006D6D44" w:rsidRDefault="006D6D44" w:rsidP="00B01AD0">
      <w:pPr>
        <w:contextualSpacing/>
        <w:jc w:val="both"/>
      </w:pPr>
      <w:r w:rsidRPr="006D6D44">
        <w:t xml:space="preserve">Evaluation and measurement of patient-centered care entirely depend on patient care quality indicators. The study of patient-centered care assessment in Canada is limited which prompted Elizabeth Gibbons, Chelsea </w:t>
      </w:r>
      <w:proofErr w:type="spellStart"/>
      <w:r w:rsidRPr="006D6D44">
        <w:t>Doktorchik</w:t>
      </w:r>
      <w:proofErr w:type="spellEnd"/>
      <w:r w:rsidRPr="006D6D44">
        <w:t xml:space="preserve">, Rachel </w:t>
      </w:r>
      <w:proofErr w:type="spellStart"/>
      <w:r w:rsidRPr="006D6D44">
        <w:t>Jolley</w:t>
      </w:r>
      <w:proofErr w:type="spellEnd"/>
      <w:r w:rsidRPr="006D6D44">
        <w:t xml:space="preserve">, Maria J. Santana, </w:t>
      </w:r>
      <w:proofErr w:type="spellStart"/>
      <w:r w:rsidRPr="006D6D44">
        <w:t>Mingshan</w:t>
      </w:r>
      <w:proofErr w:type="spellEnd"/>
      <w:r w:rsidRPr="006D6D44">
        <w:t xml:space="preserve"> Lu, Kimberly </w:t>
      </w:r>
      <w:proofErr w:type="spellStart"/>
      <w:r w:rsidRPr="006D6D44">
        <w:t>Manalili</w:t>
      </w:r>
      <w:proofErr w:type="spellEnd"/>
      <w:r w:rsidRPr="006D6D44">
        <w:t xml:space="preserve">, and </w:t>
      </w:r>
      <w:proofErr w:type="spellStart"/>
      <w:r w:rsidRPr="006D6D44">
        <w:t>Hude</w:t>
      </w:r>
      <w:proofErr w:type="spellEnd"/>
      <w:r w:rsidRPr="006D6D44">
        <w:t xml:space="preserve"> </w:t>
      </w:r>
      <w:proofErr w:type="spellStart"/>
      <w:r w:rsidRPr="006D6D44">
        <w:t>Quan</w:t>
      </w:r>
      <w:proofErr w:type="spellEnd"/>
      <w:r w:rsidRPr="006D6D44">
        <w:t xml:space="preserve"> to conduct a study to understand the implementation of PC-</w:t>
      </w:r>
      <w:proofErr w:type="spellStart"/>
      <w:r w:rsidRPr="006D6D44">
        <w:t>Qis</w:t>
      </w:r>
      <w:proofErr w:type="spellEnd"/>
      <w:r w:rsidRPr="006D6D44">
        <w:t xml:space="preserve"> in Canada in comparison to other nations. The article “Identifying Canadian Patient-Centered Care Measurement Practices and Quality Indicators" identifies the indicators currently used in Canadian provinces to measure PCC. Additionally, it explains how they compare to the rest of the world.</w:t>
      </w:r>
    </w:p>
    <w:p w:rsidR="006D6D44" w:rsidRPr="006D6D44" w:rsidRDefault="006D6D44" w:rsidP="00B01AD0">
      <w:pPr>
        <w:contextualSpacing/>
        <w:jc w:val="both"/>
      </w:pPr>
      <w:r w:rsidRPr="006D6D44">
        <w:tab/>
        <w:t>Since the study was an extensive program involving several provinces and nations, the researchers conducted province-wide surveys. The researchers adopted a qualitative research approach in which they used adaptive questioning to gain information from the 67 selected health care organizations (</w:t>
      </w:r>
      <w:proofErr w:type="spellStart"/>
      <w:r w:rsidRPr="006D6D44">
        <w:t>Doktorchik</w:t>
      </w:r>
      <w:proofErr w:type="spellEnd"/>
      <w:r w:rsidRPr="006D6D44">
        <w:t xml:space="preserve">, </w:t>
      </w:r>
      <w:proofErr w:type="spellStart"/>
      <w:r w:rsidRPr="006D6D44">
        <w:t>Manalili</w:t>
      </w:r>
      <w:proofErr w:type="spellEnd"/>
      <w:r w:rsidRPr="006D6D44">
        <w:t xml:space="preserve">, </w:t>
      </w:r>
      <w:proofErr w:type="spellStart"/>
      <w:r w:rsidRPr="006D6D44">
        <w:t>Jolley</w:t>
      </w:r>
      <w:proofErr w:type="spellEnd"/>
      <w:r w:rsidRPr="006D6D44">
        <w:t xml:space="preserve">, Gibbons, Lu, </w:t>
      </w:r>
      <w:proofErr w:type="spellStart"/>
      <w:r w:rsidRPr="006D6D44">
        <w:t>Quan</w:t>
      </w:r>
      <w:proofErr w:type="spellEnd"/>
      <w:r w:rsidRPr="006D6D44">
        <w:t xml:space="preserve"> &amp; Santana, 2018). The study included participants from other nations to compare the adoption of PCC quality indicators in other countries. Participation in the survey was voluntary, with respondents giving their answers in an online platform. Besides, the research team developed a working definition of quality indicators from a scoping review of existing literature. The authors grouped the identified indicators using the </w:t>
      </w:r>
      <w:proofErr w:type="spellStart"/>
      <w:r w:rsidRPr="006D6D44">
        <w:t>Donabedian</w:t>
      </w:r>
      <w:proofErr w:type="spellEnd"/>
      <w:r w:rsidRPr="006D6D44">
        <w:t xml:space="preserve"> model (</w:t>
      </w:r>
      <w:proofErr w:type="spellStart"/>
      <w:r w:rsidRPr="006D6D44">
        <w:t>Doktorchik</w:t>
      </w:r>
      <w:proofErr w:type="spellEnd"/>
      <w:r w:rsidRPr="006D6D44">
        <w:t xml:space="preserve"> et al., 2018). In this regard, there were three categories, that is, structure, process, and outcome.</w:t>
      </w:r>
    </w:p>
    <w:p w:rsidR="006D6D44" w:rsidRPr="006D6D44" w:rsidRDefault="006D6D44" w:rsidP="00B01AD0">
      <w:pPr>
        <w:contextualSpacing/>
        <w:jc w:val="both"/>
      </w:pPr>
      <w:r w:rsidRPr="006D6D44">
        <w:tab/>
        <w:t>Out of the 67 healthcare organizations, only 47 responded with a significant number agreeing to practice patient-centered practices. The big number of facilities implied that PCC is practiced in Canada. Besides, there was a moderate implementation of patient care quality indicators. The study identified 61 quality indicators in the selected health facilities (</w:t>
      </w:r>
      <w:proofErr w:type="spellStart"/>
      <w:r w:rsidRPr="006D6D44">
        <w:t>Doktorchik</w:t>
      </w:r>
      <w:proofErr w:type="spellEnd"/>
      <w:r w:rsidRPr="006D6D44">
        <w:t xml:space="preserve"> et al., 2018). The study participants from other nations provide the researchers with an insight into the implementation of the indicators in other countries. In this regard, Canada was at par with countries such as Australia, New Zealand, and England, where the processes were still in development (</w:t>
      </w:r>
      <w:proofErr w:type="spellStart"/>
      <w:r w:rsidRPr="006D6D44">
        <w:t>Doktorchik</w:t>
      </w:r>
      <w:proofErr w:type="spellEnd"/>
      <w:r w:rsidRPr="006D6D44">
        <w:t xml:space="preserve"> et al., 2018).</w:t>
      </w:r>
    </w:p>
    <w:p w:rsidR="006D6D44" w:rsidRDefault="006D6D44" w:rsidP="00B01AD0">
      <w:pPr>
        <w:contextualSpacing/>
        <w:jc w:val="both"/>
      </w:pPr>
      <w:r w:rsidRPr="006D6D44">
        <w:tab/>
        <w:t>In summary, the study mainly focused on Canada, identifying the implemented patient care indicators and comparing Canada with other nations. The researchers employed a qualitative approach by conducting adaptive surveys on participants from 47 healthcare institutions. The study identifies a total of 61 indicators concluding that Canada practices PCC. Besides, the researchers noted that the findings in Canada were relatively similar to the other nations involved in the study.</w:t>
      </w:r>
    </w:p>
    <w:p w:rsidR="00B01AD0" w:rsidRPr="006D6D44" w:rsidRDefault="00B01AD0" w:rsidP="00B01AD0">
      <w:pPr>
        <w:contextualSpacing/>
        <w:jc w:val="center"/>
      </w:pPr>
      <w:r>
        <w:t>R</w:t>
      </w:r>
      <w:r>
        <w:t>egulations</w:t>
      </w:r>
      <w:r>
        <w:t xml:space="preserve"> Summaries</w:t>
      </w:r>
    </w:p>
    <w:p w:rsidR="00B01AD0" w:rsidRPr="00B01AD0" w:rsidRDefault="00B01AD0" w:rsidP="00B01AD0">
      <w:pPr>
        <w:contextualSpacing/>
        <w:jc w:val="both"/>
        <w:rPr>
          <w:b/>
        </w:rPr>
      </w:pPr>
      <w:r w:rsidRPr="00B01AD0">
        <w:rPr>
          <w:b/>
        </w:rPr>
        <w:t>Regulations</w:t>
      </w:r>
      <w:r w:rsidRPr="00B01AD0">
        <w:rPr>
          <w:b/>
        </w:rPr>
        <w:t xml:space="preserve"> </w:t>
      </w:r>
      <w:r w:rsidRPr="00B01AD0">
        <w:rPr>
          <w:b/>
        </w:rPr>
        <w:t xml:space="preserve">1: Affordable Care Act </w:t>
      </w:r>
    </w:p>
    <w:p w:rsidR="00B01AD0" w:rsidRPr="00B01AD0" w:rsidRDefault="00B01AD0" w:rsidP="00B01AD0">
      <w:pPr>
        <w:ind w:firstLine="720"/>
        <w:contextualSpacing/>
        <w:jc w:val="both"/>
      </w:pPr>
      <w:r w:rsidRPr="00B01AD0">
        <w:t xml:space="preserve">Affordable Care Act, also known as  Obamacare of Patient Protection and Affordable Care Act (PPACA) is regulation that was signed into </w:t>
      </w:r>
      <w:proofErr w:type="spellStart"/>
      <w:r w:rsidRPr="00B01AD0">
        <w:t>low</w:t>
      </w:r>
      <w:proofErr w:type="spellEnd"/>
      <w:r w:rsidRPr="00B01AD0">
        <w:t xml:space="preserve"> in 2010 by former President Barack Obama that to increase health insurance coverage among Americans. The regulation also aimed at improving the quality of healthcare insurance by regulating the health insurance industry and reduce health care spending in the United States. The Affordable care Act saw an expansion of the coverage leading into many people being covered by health insurance. This included coverage of pre-existing conditions such as pregnancy, coverage of employees of small business, and children under parental plans, hence reducing rescission and denial of coverage (Health insurance Organization, 2018). </w:t>
      </w:r>
    </w:p>
    <w:p w:rsidR="00B01AD0" w:rsidRPr="00B01AD0" w:rsidRDefault="00B01AD0" w:rsidP="00B01AD0">
      <w:pPr>
        <w:ind w:firstLine="720"/>
        <w:contextualSpacing/>
        <w:jc w:val="both"/>
      </w:pPr>
      <w:r w:rsidRPr="00B01AD0">
        <w:t>This regulation includes premium subsidies and cost-sharing subsidies, which are designed to reduce the costs coverage to ensure millions of formerly uninsured Americans can qualify for health insurance coverage. The cost-sharing subsidies are meant to reduce the out-of-pocket spending on silver plans, by ensuring that the insured only pays a small portion of the health costs. The eligibility for a premium or cost-sharing subsidies is based solemnly on the income of the insured. Unlike the premium subsidies that can be applied to any "metal" plans within the exchange, the cost-sharing is only available for the silver plans and are open to enrollees who are eligible for Medicaid, with incomes up to 138% of the poverty level. Under the Affordable Care Act, millions of Americans can enroll under the ACA-compliant plans every year during the open enrolment periods, although special enrolment can also be offered for though who qualify for life event.</w:t>
      </w:r>
    </w:p>
    <w:p w:rsidR="00B01AD0" w:rsidRPr="00B01AD0" w:rsidRDefault="00B01AD0" w:rsidP="00B01AD0">
      <w:pPr>
        <w:ind w:firstLine="720"/>
        <w:contextualSpacing/>
        <w:jc w:val="both"/>
      </w:pPr>
      <w:r w:rsidRPr="00B01AD0">
        <w:t>Since the formulation of this regulation, millions of Americans who could otherwise not afford health care insurance have been covered, leading to improved health of the nation a cost of healthcare. The law requires companies not to raise premiums for infants or children because of pre-existing conditions or even disability, which is a huge benefit to the enrollees. The act also requires that young adults can remain under their parents’ health plans until they are 26 years, including those who are married, those who do not live with their parents and out of school.</w:t>
      </w:r>
    </w:p>
    <w:p w:rsidR="00B01AD0" w:rsidRPr="00B01AD0" w:rsidRDefault="00B01AD0" w:rsidP="00B01AD0">
      <w:pPr>
        <w:contextualSpacing/>
        <w:jc w:val="both"/>
        <w:rPr>
          <w:b/>
        </w:rPr>
      </w:pPr>
      <w:r w:rsidRPr="00B01AD0">
        <w:rPr>
          <w:b/>
        </w:rPr>
        <w:t xml:space="preserve">Regulation 2: The Medical Access and Chip Reauthorization Act (MACRA)  </w:t>
      </w:r>
    </w:p>
    <w:p w:rsidR="00B01AD0" w:rsidRPr="00B01AD0" w:rsidRDefault="00B01AD0" w:rsidP="00B01AD0">
      <w:pPr>
        <w:ind w:firstLine="720"/>
        <w:contextualSpacing/>
        <w:jc w:val="both"/>
      </w:pPr>
      <w:r w:rsidRPr="00B01AD0">
        <w:t>The Medical Access and Chip Reauthorization Act (MACRA</w:t>
      </w:r>
      <w:proofErr w:type="gramStart"/>
      <w:r w:rsidRPr="00B01AD0">
        <w:t>)  is</w:t>
      </w:r>
      <w:proofErr w:type="gramEnd"/>
      <w:r w:rsidRPr="00B01AD0">
        <w:t xml:space="preserve"> a bipartisan regulation that was passed by Congress and signed by President Barack </w:t>
      </w:r>
      <w:r>
        <w:t xml:space="preserve">Obama in 2015,  to create a new </w:t>
      </w:r>
      <w:r w:rsidRPr="00B01AD0">
        <w:t>reimbursement structure for  health care providers by establishing two payment tracks, rewarding the clinicians value  volume as well  as ensuring quality in reporting programs by introduction of Merit-Based Incentive Payment (MIPS ) and Alternative Payment Models (APMs) (</w:t>
      </w:r>
      <w:proofErr w:type="spellStart"/>
      <w:r w:rsidRPr="00B01AD0">
        <w:t>Casalino</w:t>
      </w:r>
      <w:proofErr w:type="spellEnd"/>
      <w:r w:rsidRPr="00B01AD0">
        <w:t xml:space="preserve">, 2017). The </w:t>
      </w:r>
      <w:proofErr w:type="gramStart"/>
      <w:r w:rsidRPr="00B01AD0">
        <w:t>MACRA  repealed</w:t>
      </w:r>
      <w:proofErr w:type="gramEnd"/>
      <w:r w:rsidRPr="00B01AD0">
        <w:t xml:space="preserve"> the Sustainable Growth Rate formula, which was formally used for the calculation of payment cuts for clinicians participating in Medicare. With the MACRA, the free-for service system was eliminated and replaced with an effective system that rewards the high-value </w:t>
      </w:r>
      <w:proofErr w:type="gramStart"/>
      <w:r w:rsidRPr="00B01AD0">
        <w:t>patients</w:t>
      </w:r>
      <w:proofErr w:type="gramEnd"/>
      <w:r w:rsidRPr="00B01AD0">
        <w:t xml:space="preserve"> care and efficiency in health care service provision. </w:t>
      </w:r>
    </w:p>
    <w:p w:rsidR="00B01AD0" w:rsidRPr="00B01AD0" w:rsidRDefault="00B01AD0" w:rsidP="00B01AD0">
      <w:pPr>
        <w:ind w:firstLine="720"/>
        <w:contextualSpacing/>
        <w:jc w:val="both"/>
      </w:pPr>
      <w:r w:rsidRPr="00B01AD0">
        <w:t>The Merit Incentive Payment (MIP) operates on four spans of performance, namely quality, resource use, advancing care information, and clinical practice improvement activity. This method of reimbursement is meant at promoting the use of information technology in the provision of health services and quality in reporting. The scoring for resource use will be based on Medicare Spending per beneficiary. The clinical practice improvement, on the other hand, aims ate utilizing the patient-centered approach to ensure the development of a program that results in better, smarter, and healthier care (</w:t>
      </w:r>
      <w:proofErr w:type="spellStart"/>
      <w:r w:rsidRPr="00B01AD0">
        <w:t>Casalino</w:t>
      </w:r>
      <w:proofErr w:type="spellEnd"/>
      <w:r w:rsidRPr="00B01AD0">
        <w:t>, 2017).</w:t>
      </w:r>
    </w:p>
    <w:p w:rsidR="00B01AD0" w:rsidRPr="00B01AD0" w:rsidRDefault="00B01AD0" w:rsidP="00B01AD0">
      <w:pPr>
        <w:ind w:firstLine="720"/>
        <w:contextualSpacing/>
        <w:jc w:val="both"/>
      </w:pPr>
      <w:r w:rsidRPr="00B01AD0">
        <w:t xml:space="preserve">One significant effect of this payment method was a reduction of incentive to </w:t>
      </w:r>
      <w:proofErr w:type="spellStart"/>
      <w:r w:rsidRPr="00B01AD0">
        <w:t>overtreat</w:t>
      </w:r>
      <w:proofErr w:type="spellEnd"/>
      <w:r w:rsidRPr="00B01AD0">
        <w:t xml:space="preserve"> patients for payments. The traditional payment methods emphasized on reimbursement for quantity rather than quality, and healthcare providers were paid at or above marginal cost for any healthcare service they provided to patients. Therefore they faced little or no risk at all due to this compensation and had high incentive to </w:t>
      </w:r>
      <w:proofErr w:type="spellStart"/>
      <w:r w:rsidRPr="00B01AD0">
        <w:t>overtreat</w:t>
      </w:r>
      <w:proofErr w:type="spellEnd"/>
      <w:r w:rsidRPr="00B01AD0">
        <w:t xml:space="preserve"> the patients so that they could be paid more, causing more harm to their patients, and resulting into high costs of healthcare that fall on the patients and taxpayers. The MACRA rewards the healthcare providers who offer low-cost quality health care and holds the healthcare providers accountable for their acts (Hussey, &amp; White, 2017). Therefore the MACRA helps to transfer the financial risks form the task payers and patients to the healthcare providers, which increases consciousness in the provision of health care, effectiveness, and efficiency. This was one of the landmarks into United States healthcare</w:t>
      </w:r>
      <w:proofErr w:type="gramStart"/>
      <w:r w:rsidRPr="00B01AD0">
        <w:t>,  by</w:t>
      </w:r>
      <w:proofErr w:type="gramEnd"/>
      <w:r w:rsidRPr="00B01AD0">
        <w:t xml:space="preserve"> eliminating the commercialization of healthcare services and introducing patient-centered care, where the provision of quality healthcare is prioritized. </w:t>
      </w:r>
    </w:p>
    <w:p w:rsidR="00B01AD0" w:rsidRPr="006D6D44" w:rsidRDefault="00B01AD0" w:rsidP="006D6D44">
      <w:pPr>
        <w:contextualSpacing/>
      </w:pPr>
    </w:p>
    <w:p w:rsidR="00257709" w:rsidRPr="00B70775" w:rsidRDefault="00257709">
      <w:pPr>
        <w:contextualSpacing/>
      </w:pPr>
    </w:p>
    <w:p w:rsidR="00B01AD0" w:rsidRDefault="00B01AD0">
      <w:r>
        <w:br w:type="page"/>
      </w:r>
    </w:p>
    <w:p w:rsidR="007D19B8" w:rsidRPr="00B70775" w:rsidRDefault="00FD2B98" w:rsidP="00257709">
      <w:pPr>
        <w:contextualSpacing/>
        <w:jc w:val="center"/>
      </w:pPr>
      <w:r w:rsidRPr="00B70775">
        <w:t>Reference</w:t>
      </w:r>
      <w:r w:rsidR="006D6D44">
        <w:t>s</w:t>
      </w:r>
    </w:p>
    <w:p w:rsidR="00B01AD0" w:rsidRPr="00B01AD0" w:rsidRDefault="00B01AD0" w:rsidP="00B01AD0">
      <w:pPr>
        <w:ind w:left="720" w:hanging="720"/>
        <w:contextualSpacing/>
        <w:jc w:val="both"/>
      </w:pPr>
      <w:proofErr w:type="spellStart"/>
      <w:r w:rsidRPr="00B01AD0">
        <w:t>Casalino</w:t>
      </w:r>
      <w:proofErr w:type="spellEnd"/>
      <w:r w:rsidRPr="00B01AD0">
        <w:t>, L. P. (2017). The Medicare Access and CHIP Reauthorization Act and the corporate transformation of American medicine. Health Affairs, 36(5), 865-869.</w:t>
      </w:r>
    </w:p>
    <w:p w:rsidR="00B01AD0" w:rsidRPr="006D6D44" w:rsidRDefault="00B01AD0" w:rsidP="00B01AD0">
      <w:pPr>
        <w:ind w:left="720" w:hanging="720"/>
        <w:contextualSpacing/>
        <w:jc w:val="both"/>
      </w:pPr>
      <w:proofErr w:type="spellStart"/>
      <w:r w:rsidRPr="006D6D44">
        <w:t>Doktorchik</w:t>
      </w:r>
      <w:proofErr w:type="spellEnd"/>
      <w:r w:rsidRPr="006D6D44">
        <w:t xml:space="preserve">, C., </w:t>
      </w:r>
      <w:proofErr w:type="spellStart"/>
      <w:r w:rsidRPr="006D6D44">
        <w:t>Manalili</w:t>
      </w:r>
      <w:proofErr w:type="spellEnd"/>
      <w:r w:rsidRPr="006D6D44">
        <w:t xml:space="preserve">, K., </w:t>
      </w:r>
      <w:proofErr w:type="spellStart"/>
      <w:r w:rsidRPr="006D6D44">
        <w:t>Jolley</w:t>
      </w:r>
      <w:proofErr w:type="spellEnd"/>
      <w:r w:rsidRPr="006D6D44">
        <w:t xml:space="preserve">, R., Gibbons, E., Lu, M., </w:t>
      </w:r>
      <w:proofErr w:type="spellStart"/>
      <w:r w:rsidRPr="006D6D44">
        <w:t>Quan</w:t>
      </w:r>
      <w:proofErr w:type="spellEnd"/>
      <w:r w:rsidRPr="006D6D44">
        <w:t>, H., &amp; Santana, M. J. (2018). Identifying Canadian patient-</w:t>
      </w:r>
      <w:proofErr w:type="spellStart"/>
      <w:r w:rsidRPr="006D6D44">
        <w:t>centred</w:t>
      </w:r>
      <w:proofErr w:type="spellEnd"/>
      <w:r w:rsidRPr="006D6D44">
        <w:t xml:space="preserve"> care measurement practices and quality indicators: a survey. </w:t>
      </w:r>
      <w:r w:rsidRPr="006D6D44">
        <w:rPr>
          <w:i/>
          <w:iCs/>
        </w:rPr>
        <w:t>CMAJ open</w:t>
      </w:r>
      <w:r w:rsidRPr="006D6D44">
        <w:t>, </w:t>
      </w:r>
      <w:r w:rsidRPr="006D6D44">
        <w:rPr>
          <w:i/>
          <w:iCs/>
        </w:rPr>
        <w:t>6</w:t>
      </w:r>
      <w:r w:rsidRPr="006D6D44">
        <w:t>(4), E643.</w:t>
      </w:r>
    </w:p>
    <w:p w:rsidR="00B01AD0" w:rsidRDefault="00B01AD0" w:rsidP="00B01AD0">
      <w:pPr>
        <w:ind w:left="720" w:hanging="720"/>
        <w:contextualSpacing/>
        <w:jc w:val="both"/>
        <w:rPr>
          <w:shd w:val="clear" w:color="auto" w:fill="FFFFFF"/>
        </w:rPr>
      </w:pPr>
      <w:r w:rsidRPr="00B01AD0">
        <w:rPr>
          <w:shd w:val="clear" w:color="auto" w:fill="FFFFFF"/>
        </w:rPr>
        <w:t xml:space="preserve">H.R.3590 - 111th Congress (2009-2010): Patient Protection and Affordable Care Act. (2010, March 23). Retrieved from </w:t>
      </w:r>
      <w:hyperlink r:id="rId6" w:history="1">
        <w:r w:rsidRPr="00B01AD0">
          <w:rPr>
            <w:rStyle w:val="Hyperlink"/>
            <w:shd w:val="clear" w:color="auto" w:fill="FFFFFF"/>
          </w:rPr>
          <w:t>https://www.congress.gov/bill/111th-congress/house-bill/3590</w:t>
        </w:r>
      </w:hyperlink>
    </w:p>
    <w:p w:rsidR="00B01AD0" w:rsidRPr="00B01AD0" w:rsidRDefault="00B01AD0" w:rsidP="00B01AD0">
      <w:pPr>
        <w:ind w:left="720" w:hanging="720"/>
        <w:contextualSpacing/>
        <w:jc w:val="both"/>
        <w:rPr>
          <w:shd w:val="clear" w:color="auto" w:fill="FFFFFF"/>
        </w:rPr>
      </w:pPr>
      <w:r w:rsidRPr="00B01AD0">
        <w:rPr>
          <w:shd w:val="clear" w:color="auto" w:fill="FFFFFF"/>
        </w:rPr>
        <w:t xml:space="preserve">Health insurance </w:t>
      </w:r>
      <w:proofErr w:type="spellStart"/>
      <w:r w:rsidRPr="00B01AD0">
        <w:rPr>
          <w:shd w:val="clear" w:color="auto" w:fill="FFFFFF"/>
        </w:rPr>
        <w:t>Organisation</w:t>
      </w:r>
      <w:proofErr w:type="spellEnd"/>
      <w:r w:rsidRPr="00B01AD0">
        <w:rPr>
          <w:shd w:val="clear" w:color="auto" w:fill="FFFFFF"/>
        </w:rPr>
        <w:t xml:space="preserve">. (2018, July 27). Affordable Care Act (ACA) definition. Retrieved from </w:t>
      </w:r>
      <w:hyperlink r:id="rId7" w:history="1">
        <w:r w:rsidRPr="00B01AD0">
          <w:rPr>
            <w:rStyle w:val="Hyperlink"/>
            <w:shd w:val="clear" w:color="auto" w:fill="FFFFFF"/>
          </w:rPr>
          <w:t>https://www.healthinsurance.org/glossary/affordable-care-act/</w:t>
        </w:r>
      </w:hyperlink>
    </w:p>
    <w:p w:rsidR="00B01AD0" w:rsidRPr="00B01AD0" w:rsidRDefault="00B01AD0" w:rsidP="00B01AD0">
      <w:pPr>
        <w:ind w:left="720" w:hanging="720"/>
        <w:contextualSpacing/>
        <w:jc w:val="both"/>
      </w:pPr>
      <w:r w:rsidRPr="00B01AD0">
        <w:t>Hussey, P. &amp; White, C. (2017). The Medicare Access and CHIP Reauthorization Act: effects on Medicare payment policy and spending. Health Affairs, 36(4), 697-705.</w:t>
      </w:r>
    </w:p>
    <w:p w:rsidR="00B01AD0" w:rsidRDefault="00B01AD0" w:rsidP="00B01AD0">
      <w:pPr>
        <w:ind w:left="720" w:hanging="720"/>
        <w:contextualSpacing/>
        <w:jc w:val="both"/>
        <w:rPr>
          <w:shd w:val="clear" w:color="auto" w:fill="FFFFFF"/>
        </w:rPr>
      </w:pPr>
      <w:proofErr w:type="spellStart"/>
      <w:r w:rsidRPr="00B70775">
        <w:rPr>
          <w:shd w:val="clear" w:color="auto" w:fill="FFFFFF"/>
        </w:rPr>
        <w:t>Martínez</w:t>
      </w:r>
      <w:proofErr w:type="spellEnd"/>
      <w:r w:rsidRPr="00B70775">
        <w:rPr>
          <w:shd w:val="clear" w:color="auto" w:fill="FFFFFF"/>
        </w:rPr>
        <w:t xml:space="preserve">, T., </w:t>
      </w:r>
      <w:proofErr w:type="spellStart"/>
      <w:r w:rsidRPr="00B70775">
        <w:rPr>
          <w:shd w:val="clear" w:color="auto" w:fill="FFFFFF"/>
        </w:rPr>
        <w:t>Suárez-Álvarez</w:t>
      </w:r>
      <w:proofErr w:type="spellEnd"/>
      <w:r w:rsidRPr="00B70775">
        <w:rPr>
          <w:shd w:val="clear" w:color="auto" w:fill="FFFFFF"/>
        </w:rPr>
        <w:t xml:space="preserve">, J., &amp; </w:t>
      </w:r>
      <w:proofErr w:type="spellStart"/>
      <w:r w:rsidRPr="00B70775">
        <w:rPr>
          <w:shd w:val="clear" w:color="auto" w:fill="FFFFFF"/>
        </w:rPr>
        <w:t>Yanguas</w:t>
      </w:r>
      <w:proofErr w:type="spellEnd"/>
      <w:r w:rsidRPr="00B70775">
        <w:rPr>
          <w:shd w:val="clear" w:color="auto" w:fill="FFFFFF"/>
        </w:rPr>
        <w:t>, J. (2016). Instruments for assessing person centered care in gerontology. </w:t>
      </w:r>
      <w:proofErr w:type="spellStart"/>
      <w:r w:rsidRPr="00B70775">
        <w:rPr>
          <w:i/>
          <w:iCs/>
          <w:shd w:val="clear" w:color="auto" w:fill="FFFFFF"/>
        </w:rPr>
        <w:t>Psicothema</w:t>
      </w:r>
      <w:proofErr w:type="spellEnd"/>
      <w:r w:rsidRPr="00B70775">
        <w:rPr>
          <w:shd w:val="clear" w:color="auto" w:fill="FFFFFF"/>
        </w:rPr>
        <w:t>, </w:t>
      </w:r>
      <w:r w:rsidRPr="00B70775">
        <w:rPr>
          <w:i/>
          <w:iCs/>
          <w:shd w:val="clear" w:color="auto" w:fill="FFFFFF"/>
        </w:rPr>
        <w:t>28</w:t>
      </w:r>
      <w:r w:rsidRPr="00B70775">
        <w:rPr>
          <w:shd w:val="clear" w:color="auto" w:fill="FFFFFF"/>
        </w:rPr>
        <w:t>(2), 114-121.</w:t>
      </w:r>
    </w:p>
    <w:p w:rsidR="00B01AD0" w:rsidRPr="006D6D44" w:rsidRDefault="00B01AD0" w:rsidP="00B01AD0">
      <w:pPr>
        <w:ind w:left="720" w:hanging="720"/>
        <w:contextualSpacing/>
        <w:jc w:val="both"/>
      </w:pPr>
      <w:r w:rsidRPr="006D6D44">
        <w:t xml:space="preserve">Santana, M. J., Ahmed, S., Lorenzetti, D., </w:t>
      </w:r>
      <w:proofErr w:type="spellStart"/>
      <w:r w:rsidRPr="006D6D44">
        <w:t>Jolley</w:t>
      </w:r>
      <w:proofErr w:type="spellEnd"/>
      <w:r w:rsidRPr="006D6D44">
        <w:t xml:space="preserve">, R. J., </w:t>
      </w:r>
      <w:proofErr w:type="spellStart"/>
      <w:r w:rsidRPr="006D6D44">
        <w:t>Manalili</w:t>
      </w:r>
      <w:proofErr w:type="spellEnd"/>
      <w:r w:rsidRPr="006D6D44">
        <w:t xml:space="preserve">, K., </w:t>
      </w:r>
      <w:proofErr w:type="spellStart"/>
      <w:r w:rsidRPr="006D6D44">
        <w:t>Zelinsky</w:t>
      </w:r>
      <w:proofErr w:type="spellEnd"/>
      <w:r w:rsidRPr="006D6D44">
        <w:t>, S</w:t>
      </w:r>
      <w:proofErr w:type="gramStart"/>
      <w:r w:rsidRPr="006D6D44">
        <w:t>., ...</w:t>
      </w:r>
      <w:proofErr w:type="gramEnd"/>
      <w:r w:rsidRPr="006D6D44">
        <w:t xml:space="preserve"> &amp; Lu, M. (2019). Measuring patient-centered system performance: a scoping review of patient-centered care quality indicators. </w:t>
      </w:r>
      <w:r w:rsidRPr="006D6D44">
        <w:rPr>
          <w:i/>
          <w:iCs/>
        </w:rPr>
        <w:t>BMJ Open</w:t>
      </w:r>
      <w:r w:rsidRPr="006D6D44">
        <w:t>, </w:t>
      </w:r>
      <w:r w:rsidRPr="006D6D44">
        <w:rPr>
          <w:i/>
          <w:iCs/>
        </w:rPr>
        <w:t>9</w:t>
      </w:r>
      <w:r w:rsidRPr="006D6D44">
        <w:t>(1), e023596.</w:t>
      </w:r>
    </w:p>
    <w:p w:rsidR="006D6D44" w:rsidRPr="00B70775" w:rsidRDefault="006D6D44" w:rsidP="00B70775">
      <w:pPr>
        <w:ind w:left="720" w:hanging="720"/>
        <w:contextualSpacing/>
      </w:pPr>
    </w:p>
    <w:sectPr w:rsidR="006D6D44" w:rsidRPr="00B70775" w:rsidSect="00B42CA2">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E1B92" w:rsidRDefault="009E1B92">
      <w:pPr>
        <w:spacing w:line="240" w:lineRule="auto"/>
      </w:pPr>
      <w:r>
        <w:separator/>
      </w:r>
    </w:p>
  </w:endnote>
  <w:endnote w:type="continuationSeparator" w:id="0">
    <w:p w:rsidR="009E1B92" w:rsidRDefault="009E1B92">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E1B92" w:rsidRDefault="009E1B92">
      <w:pPr>
        <w:spacing w:line="240" w:lineRule="auto"/>
      </w:pPr>
      <w:r>
        <w:separator/>
      </w:r>
    </w:p>
  </w:footnote>
  <w:footnote w:type="continuationSeparator" w:id="0">
    <w:p w:rsidR="009E1B92" w:rsidRDefault="009E1B92">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538089457"/>
      <w:docPartObj>
        <w:docPartGallery w:val="Page Numbers (Top of Page)"/>
        <w:docPartUnique/>
      </w:docPartObj>
    </w:sdtPr>
    <w:sdtEndPr>
      <w:rPr>
        <w:noProof/>
      </w:rPr>
    </w:sdtEndPr>
    <w:sdtContent>
      <w:p w:rsidR="00B42CA2" w:rsidRDefault="006D6D44" w:rsidP="006D6D44">
        <w:pPr>
          <w:pStyle w:val="Header"/>
        </w:pPr>
        <w:r w:rsidRPr="006D6D44">
          <w:t>EVALUATION AND MEASUREMENT OF PATIENT-CENTERED CARE</w:t>
        </w:r>
        <w:r>
          <w:t xml:space="preserve">                             </w:t>
        </w:r>
        <w:r w:rsidR="00FD2B98">
          <w:fldChar w:fldCharType="begin"/>
        </w:r>
        <w:r w:rsidR="00FD2B98">
          <w:instrText xml:space="preserve"> PAGE   \* MERGEFORMAT </w:instrText>
        </w:r>
        <w:r w:rsidR="00FD2B98">
          <w:fldChar w:fldCharType="separate"/>
        </w:r>
        <w:r w:rsidR="00B01AD0">
          <w:rPr>
            <w:noProof/>
          </w:rPr>
          <w:t>9</w:t>
        </w:r>
        <w:r w:rsidR="00FD2B98">
          <w:rPr>
            <w:noProof/>
          </w:rPr>
          <w:fldChar w:fldCharType="end"/>
        </w:r>
      </w:p>
    </w:sdtContent>
  </w:sdt>
  <w:p w:rsidR="00B42CA2" w:rsidRDefault="00B42CA2">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42CA2" w:rsidRDefault="00FD2B98" w:rsidP="00B42CA2">
    <w:pPr>
      <w:pStyle w:val="Header"/>
    </w:pPr>
    <w:r>
      <w:t xml:space="preserve">Running head: </w:t>
    </w:r>
    <w:r w:rsidR="006D6D44" w:rsidRPr="006D6D44">
      <w:t>EVALUATION AND MEASUREMENT OF PATIENT-CENTERED CARE</w:t>
    </w:r>
    <w:r>
      <w:t xml:space="preserve">    </w:t>
    </w:r>
    <w:r w:rsidR="006D6D44">
      <w:t xml:space="preserve">1 </w:t>
    </w:r>
    <w:r>
      <w:t xml:space="preserve">                            </w:t>
    </w:r>
  </w:p>
  <w:p w:rsidR="00B42CA2" w:rsidRDefault="00B42CA2">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savePreviewPicture/>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F3004"/>
    <w:rsid w:val="0007767F"/>
    <w:rsid w:val="00164949"/>
    <w:rsid w:val="001B21BF"/>
    <w:rsid w:val="001C5535"/>
    <w:rsid w:val="001E6C3B"/>
    <w:rsid w:val="00257709"/>
    <w:rsid w:val="00393738"/>
    <w:rsid w:val="004915A0"/>
    <w:rsid w:val="005D1A91"/>
    <w:rsid w:val="006D6D44"/>
    <w:rsid w:val="006E5D04"/>
    <w:rsid w:val="007D19B8"/>
    <w:rsid w:val="00840E06"/>
    <w:rsid w:val="008B5F9B"/>
    <w:rsid w:val="008C304A"/>
    <w:rsid w:val="009424CC"/>
    <w:rsid w:val="009E1B92"/>
    <w:rsid w:val="00A85864"/>
    <w:rsid w:val="00A91C8A"/>
    <w:rsid w:val="00AF3004"/>
    <w:rsid w:val="00B01AD0"/>
    <w:rsid w:val="00B42CA2"/>
    <w:rsid w:val="00B70775"/>
    <w:rsid w:val="00C07275"/>
    <w:rsid w:val="00C55974"/>
    <w:rsid w:val="00DF18CB"/>
    <w:rsid w:val="00EC26B7"/>
    <w:rsid w:val="00FD2B9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D87302A2-F4C5-4A38-8188-DA517797F4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HAnsi" w:hAnsi="Times New Roman" w:cs="Times New Roman"/>
        <w:sz w:val="24"/>
        <w:szCs w:val="24"/>
        <w:lang w:val="en-US" w:eastAsia="en-US" w:bidi="ar-SA"/>
      </w:rPr>
    </w:rPrDefault>
    <w:pPrDefault>
      <w:pPr>
        <w:spacing w:line="480"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42CA2"/>
    <w:pPr>
      <w:tabs>
        <w:tab w:val="center" w:pos="4680"/>
        <w:tab w:val="right" w:pos="9360"/>
      </w:tabs>
      <w:spacing w:line="240" w:lineRule="auto"/>
    </w:pPr>
  </w:style>
  <w:style w:type="character" w:customStyle="1" w:styleId="HeaderChar">
    <w:name w:val="Header Char"/>
    <w:basedOn w:val="DefaultParagraphFont"/>
    <w:link w:val="Header"/>
    <w:uiPriority w:val="99"/>
    <w:rsid w:val="00B42CA2"/>
  </w:style>
  <w:style w:type="paragraph" w:styleId="Footer">
    <w:name w:val="footer"/>
    <w:basedOn w:val="Normal"/>
    <w:link w:val="FooterChar"/>
    <w:uiPriority w:val="99"/>
    <w:unhideWhenUsed/>
    <w:rsid w:val="00B42CA2"/>
    <w:pPr>
      <w:tabs>
        <w:tab w:val="center" w:pos="4680"/>
        <w:tab w:val="right" w:pos="9360"/>
      </w:tabs>
      <w:spacing w:line="240" w:lineRule="auto"/>
    </w:pPr>
  </w:style>
  <w:style w:type="character" w:customStyle="1" w:styleId="FooterChar">
    <w:name w:val="Footer Char"/>
    <w:basedOn w:val="DefaultParagraphFont"/>
    <w:link w:val="Footer"/>
    <w:uiPriority w:val="99"/>
    <w:rsid w:val="00B42CA2"/>
  </w:style>
  <w:style w:type="character" w:styleId="Hyperlink">
    <w:name w:val="Hyperlink"/>
    <w:basedOn w:val="DefaultParagraphFont"/>
    <w:uiPriority w:val="99"/>
    <w:unhideWhenUsed/>
    <w:rsid w:val="00B01AD0"/>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hyperlink" Target="https://www.healthinsurance.org/glossary/affordable-care-act/"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congress.gov/bill/111th-congress/house-bill/3590" TargetMode="Externa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9</Pages>
  <Words>2187</Words>
  <Characters>12472</Characters>
  <Application>Microsoft Office Word</Application>
  <DocSecurity>0</DocSecurity>
  <Lines>103</Lines>
  <Paragraphs>29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14630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MORRIS</cp:lastModifiedBy>
  <cp:revision>2</cp:revision>
  <dcterms:created xsi:type="dcterms:W3CDTF">2019-07-29T03:14:00Z</dcterms:created>
  <dcterms:modified xsi:type="dcterms:W3CDTF">2019-07-29T03:14:00Z</dcterms:modified>
</cp:coreProperties>
</file>